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84E430" w14:textId="77777777" w:rsidR="00A43D92" w:rsidRDefault="00A43D92" w:rsidP="00A43D92">
      <w:pPr>
        <w:spacing w:after="0" w:line="480" w:lineRule="auto"/>
        <w:jc w:val="center"/>
        <w:rPr>
          <w:rFonts w:ascii="Times New Roman" w:hAnsi="Times New Roman" w:cs="Times New Roman"/>
          <w:sz w:val="24"/>
          <w:szCs w:val="24"/>
        </w:rPr>
      </w:pPr>
      <w:r w:rsidRPr="00A43D92">
        <w:rPr>
          <w:rFonts w:ascii="Times New Roman" w:hAnsi="Times New Roman" w:cs="Times New Roman"/>
          <w:sz w:val="24"/>
          <w:szCs w:val="24"/>
        </w:rPr>
        <w:t>Anti-immigration sentiments and the true benefits of inclusivity</w:t>
      </w:r>
    </w:p>
    <w:p w14:paraId="09A7D02D" w14:textId="56A01650" w:rsidR="00926854" w:rsidRPr="00C66A1F" w:rsidRDefault="00270E1F" w:rsidP="00502531">
      <w:pPr>
        <w:spacing w:after="0" w:line="480" w:lineRule="auto"/>
        <w:ind w:firstLine="720"/>
        <w:rPr>
          <w:rFonts w:ascii="Times New Roman" w:hAnsi="Times New Roman" w:cs="Times New Roman"/>
          <w:sz w:val="24"/>
          <w:szCs w:val="24"/>
        </w:rPr>
      </w:pPr>
      <w:r w:rsidRPr="00C66A1F">
        <w:rPr>
          <w:rFonts w:ascii="Times New Roman" w:hAnsi="Times New Roman" w:cs="Times New Roman"/>
          <w:sz w:val="24"/>
          <w:szCs w:val="24"/>
        </w:rPr>
        <w:t>When I was recently asked to report on legislation affect</w:t>
      </w:r>
      <w:r w:rsidR="001E7E4B">
        <w:rPr>
          <w:rFonts w:ascii="Times New Roman" w:hAnsi="Times New Roman" w:cs="Times New Roman"/>
          <w:sz w:val="24"/>
          <w:szCs w:val="24"/>
        </w:rPr>
        <w:t>ing</w:t>
      </w:r>
      <w:r w:rsidRPr="00C66A1F">
        <w:rPr>
          <w:rFonts w:ascii="Times New Roman" w:hAnsi="Times New Roman" w:cs="Times New Roman"/>
          <w:sz w:val="24"/>
          <w:szCs w:val="24"/>
        </w:rPr>
        <w:t xml:space="preserve"> English </w:t>
      </w:r>
      <w:r w:rsidR="0097068A">
        <w:rPr>
          <w:rFonts w:ascii="Times New Roman" w:hAnsi="Times New Roman" w:cs="Times New Roman"/>
          <w:sz w:val="24"/>
          <w:szCs w:val="24"/>
        </w:rPr>
        <w:t>l</w:t>
      </w:r>
      <w:r w:rsidRPr="00C66A1F">
        <w:rPr>
          <w:rFonts w:ascii="Times New Roman" w:hAnsi="Times New Roman" w:cs="Times New Roman"/>
          <w:sz w:val="24"/>
          <w:szCs w:val="24"/>
        </w:rPr>
        <w:t xml:space="preserve">anguage </w:t>
      </w:r>
      <w:r w:rsidR="0097068A">
        <w:rPr>
          <w:rFonts w:ascii="Times New Roman" w:hAnsi="Times New Roman" w:cs="Times New Roman"/>
          <w:sz w:val="24"/>
          <w:szCs w:val="24"/>
        </w:rPr>
        <w:t>l</w:t>
      </w:r>
      <w:r w:rsidRPr="00C66A1F">
        <w:rPr>
          <w:rFonts w:ascii="Times New Roman" w:hAnsi="Times New Roman" w:cs="Times New Roman"/>
          <w:sz w:val="24"/>
          <w:szCs w:val="24"/>
        </w:rPr>
        <w:t>earners (ELL</w:t>
      </w:r>
      <w:r w:rsidR="0097068A">
        <w:rPr>
          <w:rFonts w:ascii="Times New Roman" w:hAnsi="Times New Roman" w:cs="Times New Roman"/>
          <w:sz w:val="24"/>
          <w:szCs w:val="24"/>
        </w:rPr>
        <w:t>s</w:t>
      </w:r>
      <w:r w:rsidRPr="00C66A1F">
        <w:rPr>
          <w:rFonts w:ascii="Times New Roman" w:hAnsi="Times New Roman" w:cs="Times New Roman"/>
          <w:sz w:val="24"/>
          <w:szCs w:val="24"/>
        </w:rPr>
        <w:t xml:space="preserve">) in Georgia, I found that reports on this topic are generally timelines, beginning with the Civil Rights Act, the Equal Education Opportunity Act, and the Bilingual Education Act. </w:t>
      </w:r>
      <w:r w:rsidR="00316907">
        <w:rPr>
          <w:rFonts w:ascii="Times New Roman" w:hAnsi="Times New Roman" w:cs="Times New Roman"/>
          <w:sz w:val="24"/>
          <w:szCs w:val="24"/>
        </w:rPr>
        <w:t>Such</w:t>
      </w:r>
      <w:r w:rsidRPr="00C66A1F">
        <w:rPr>
          <w:rFonts w:ascii="Times New Roman" w:hAnsi="Times New Roman" w:cs="Times New Roman"/>
          <w:sz w:val="24"/>
          <w:szCs w:val="24"/>
        </w:rPr>
        <w:t xml:space="preserve"> reports outline court rulings that demonstrate an evolving, even if recursive, </w:t>
      </w:r>
      <w:r w:rsidR="008F15C6">
        <w:rPr>
          <w:rFonts w:ascii="Times New Roman" w:hAnsi="Times New Roman" w:cs="Times New Roman"/>
          <w:sz w:val="24"/>
          <w:szCs w:val="24"/>
        </w:rPr>
        <w:t xml:space="preserve">understanding of </w:t>
      </w:r>
      <w:r w:rsidRPr="00C66A1F">
        <w:rPr>
          <w:rFonts w:ascii="Times New Roman" w:hAnsi="Times New Roman" w:cs="Times New Roman"/>
          <w:sz w:val="24"/>
          <w:szCs w:val="24"/>
        </w:rPr>
        <w:t xml:space="preserve">the rights of ELLs to </w:t>
      </w:r>
      <w:r w:rsidR="00481FF0">
        <w:rPr>
          <w:rFonts w:ascii="Times New Roman" w:hAnsi="Times New Roman" w:cs="Times New Roman"/>
          <w:sz w:val="24"/>
          <w:szCs w:val="24"/>
        </w:rPr>
        <w:t xml:space="preserve">an </w:t>
      </w:r>
      <w:r w:rsidRPr="00C66A1F">
        <w:rPr>
          <w:rFonts w:ascii="Times New Roman" w:hAnsi="Times New Roman" w:cs="Times New Roman"/>
          <w:sz w:val="24"/>
          <w:szCs w:val="24"/>
        </w:rPr>
        <w:t xml:space="preserve">equitable education. </w:t>
      </w:r>
      <w:r w:rsidR="00481FF0">
        <w:rPr>
          <w:rFonts w:ascii="Times New Roman" w:hAnsi="Times New Roman" w:cs="Times New Roman"/>
          <w:sz w:val="24"/>
          <w:szCs w:val="24"/>
        </w:rPr>
        <w:t>For instance, the</w:t>
      </w:r>
      <w:r w:rsidR="00E9141D">
        <w:rPr>
          <w:rFonts w:ascii="Times New Roman" w:hAnsi="Times New Roman" w:cs="Times New Roman"/>
          <w:sz w:val="24"/>
          <w:szCs w:val="24"/>
        </w:rPr>
        <w:t xml:space="preserve"> </w:t>
      </w:r>
      <w:proofErr w:type="spellStart"/>
      <w:r w:rsidRPr="00C66A1F">
        <w:rPr>
          <w:rFonts w:ascii="Times New Roman" w:hAnsi="Times New Roman" w:cs="Times New Roman"/>
          <w:sz w:val="24"/>
          <w:szCs w:val="24"/>
        </w:rPr>
        <w:t>Castañeda</w:t>
      </w:r>
      <w:proofErr w:type="spellEnd"/>
      <w:r w:rsidRPr="00C66A1F">
        <w:rPr>
          <w:rFonts w:ascii="Times New Roman" w:hAnsi="Times New Roman" w:cs="Times New Roman"/>
          <w:sz w:val="24"/>
          <w:szCs w:val="24"/>
        </w:rPr>
        <w:t xml:space="preserve"> v. Pickard (1981) ruling includes </w:t>
      </w:r>
      <w:r w:rsidR="00666CAD" w:rsidRPr="00C66A1F">
        <w:rPr>
          <w:rFonts w:ascii="Times New Roman" w:hAnsi="Times New Roman" w:cs="Times New Roman"/>
          <w:sz w:val="24"/>
          <w:szCs w:val="24"/>
        </w:rPr>
        <w:t>mandates for how to achieve equity in education for all ELLs: court-ordered ELL taskforces to determine effective, research-based teaching models, cost studies to determine appropriate funding levels to meet ELL learning needs, and evaluation measures to determine</w:t>
      </w:r>
      <w:r w:rsidR="008D1934">
        <w:rPr>
          <w:rFonts w:ascii="Times New Roman" w:hAnsi="Times New Roman" w:cs="Times New Roman"/>
          <w:sz w:val="24"/>
          <w:szCs w:val="24"/>
        </w:rPr>
        <w:t xml:space="preserve"> the</w:t>
      </w:r>
      <w:r w:rsidR="00666CAD" w:rsidRPr="00C66A1F">
        <w:rPr>
          <w:rFonts w:ascii="Times New Roman" w:hAnsi="Times New Roman" w:cs="Times New Roman"/>
          <w:sz w:val="24"/>
          <w:szCs w:val="24"/>
        </w:rPr>
        <w:t xml:space="preserve"> efficacy of such decisions. These foundational rulings remain critical in working towards educational equ</w:t>
      </w:r>
      <w:r w:rsidR="001F2E92">
        <w:rPr>
          <w:rFonts w:ascii="Times New Roman" w:hAnsi="Times New Roman" w:cs="Times New Roman"/>
          <w:sz w:val="24"/>
          <w:szCs w:val="24"/>
        </w:rPr>
        <w:t xml:space="preserve">ity </w:t>
      </w:r>
      <w:r w:rsidR="00666CAD" w:rsidRPr="00C66A1F">
        <w:rPr>
          <w:rFonts w:ascii="Times New Roman" w:hAnsi="Times New Roman" w:cs="Times New Roman"/>
          <w:sz w:val="24"/>
          <w:szCs w:val="24"/>
        </w:rPr>
        <w:t xml:space="preserve">even if questions they posed </w:t>
      </w:r>
      <w:r w:rsidR="00153E9B">
        <w:rPr>
          <w:rFonts w:ascii="Times New Roman" w:hAnsi="Times New Roman" w:cs="Times New Roman"/>
          <w:sz w:val="24"/>
          <w:szCs w:val="24"/>
        </w:rPr>
        <w:t xml:space="preserve">still </w:t>
      </w:r>
      <w:r w:rsidR="00666CAD" w:rsidRPr="00C66A1F">
        <w:rPr>
          <w:rFonts w:ascii="Times New Roman" w:hAnsi="Times New Roman" w:cs="Times New Roman"/>
          <w:sz w:val="24"/>
          <w:szCs w:val="24"/>
        </w:rPr>
        <w:t xml:space="preserve">linger today: </w:t>
      </w:r>
      <w:r w:rsidR="00CF4959">
        <w:rPr>
          <w:rFonts w:ascii="Times New Roman" w:hAnsi="Times New Roman" w:cs="Times New Roman"/>
          <w:sz w:val="24"/>
          <w:szCs w:val="24"/>
        </w:rPr>
        <w:t>E</w:t>
      </w:r>
      <w:r w:rsidR="00666CAD" w:rsidRPr="00C66A1F">
        <w:rPr>
          <w:rFonts w:ascii="Times New Roman" w:hAnsi="Times New Roman" w:cs="Times New Roman"/>
          <w:sz w:val="24"/>
          <w:szCs w:val="24"/>
        </w:rPr>
        <w:t xml:space="preserve">ducational researchers and policy makers continue to seek ways to assist English language learners without segregating them, for example (Moon, 2018). </w:t>
      </w:r>
    </w:p>
    <w:p w14:paraId="3863EF63" w14:textId="16A1AC48" w:rsidR="002C739C" w:rsidRPr="00C66A1F" w:rsidRDefault="00926854" w:rsidP="00C66A1F">
      <w:pPr>
        <w:spacing w:after="0" w:line="480" w:lineRule="auto"/>
        <w:rPr>
          <w:rFonts w:ascii="Times New Roman" w:hAnsi="Times New Roman" w:cs="Times New Roman"/>
          <w:sz w:val="24"/>
          <w:szCs w:val="24"/>
        </w:rPr>
      </w:pPr>
      <w:r w:rsidRPr="00C66A1F">
        <w:rPr>
          <w:rFonts w:ascii="Times New Roman" w:hAnsi="Times New Roman" w:cs="Times New Roman"/>
          <w:sz w:val="24"/>
          <w:szCs w:val="24"/>
        </w:rPr>
        <w:tab/>
        <w:t>Official reports, however, do not usually include explanations of how anti-immigration federal and state laws indirectly affect ELL students’ educational outcomes. Laws such as Arizona’s SB 1070 (2010), targeted at immigrant families, had required immigrants to register with law enforcement and made the harboring of undocumented immigrants illegal. Despite being struck down by the Supreme Court in 2012 and never fully implemented, detrimental effects of the anti-immigrant sentiment that the controversy fanned affected Latinx health, safety, sense of well-being, and educational outcomes for years later (Flores, 2017;</w:t>
      </w:r>
      <w:r w:rsidR="009E6F53" w:rsidRPr="00C66A1F">
        <w:rPr>
          <w:rFonts w:ascii="Times New Roman" w:hAnsi="Times New Roman" w:cs="Times New Roman"/>
          <w:sz w:val="24"/>
          <w:szCs w:val="24"/>
        </w:rPr>
        <w:t xml:space="preserve"> </w:t>
      </w:r>
      <w:r w:rsidRPr="00C66A1F">
        <w:rPr>
          <w:rFonts w:ascii="Times New Roman" w:hAnsi="Times New Roman" w:cs="Times New Roman"/>
          <w:sz w:val="24"/>
          <w:szCs w:val="24"/>
        </w:rPr>
        <w:t xml:space="preserve">Orozco &amp; Lopez, 2015; </w:t>
      </w:r>
      <w:r w:rsidR="009E6F53" w:rsidRPr="00C66A1F">
        <w:rPr>
          <w:rFonts w:ascii="Times New Roman" w:hAnsi="Times New Roman" w:cs="Times New Roman"/>
          <w:sz w:val="24"/>
          <w:szCs w:val="24"/>
        </w:rPr>
        <w:t xml:space="preserve">Santos, </w:t>
      </w:r>
      <w:proofErr w:type="spellStart"/>
      <w:r w:rsidR="009E6F53" w:rsidRPr="00C66A1F">
        <w:rPr>
          <w:rFonts w:ascii="Times New Roman" w:hAnsi="Times New Roman" w:cs="Times New Roman"/>
          <w:sz w:val="24"/>
          <w:szCs w:val="24"/>
        </w:rPr>
        <w:t>Menjivar</w:t>
      </w:r>
      <w:proofErr w:type="spellEnd"/>
      <w:r w:rsidR="009E6F53" w:rsidRPr="00C66A1F">
        <w:rPr>
          <w:rFonts w:ascii="Times New Roman" w:hAnsi="Times New Roman" w:cs="Times New Roman"/>
          <w:sz w:val="24"/>
          <w:szCs w:val="24"/>
        </w:rPr>
        <w:t>, &amp; Godfrey, 2013; Toomey et al., 2014).</w:t>
      </w:r>
    </w:p>
    <w:p w14:paraId="42F7C60D" w14:textId="78389059" w:rsidR="009E6F53" w:rsidRPr="00C66A1F" w:rsidRDefault="009E6F53" w:rsidP="00C66A1F">
      <w:pPr>
        <w:spacing w:after="0" w:line="480" w:lineRule="auto"/>
        <w:rPr>
          <w:rFonts w:ascii="Times New Roman" w:hAnsi="Times New Roman" w:cs="Times New Roman"/>
          <w:sz w:val="24"/>
          <w:szCs w:val="24"/>
        </w:rPr>
      </w:pPr>
      <w:r w:rsidRPr="00C66A1F">
        <w:rPr>
          <w:rFonts w:ascii="Times New Roman" w:hAnsi="Times New Roman" w:cs="Times New Roman"/>
          <w:sz w:val="24"/>
          <w:szCs w:val="24"/>
        </w:rPr>
        <w:tab/>
        <w:t>In fact, much legal debate that goes on at the state and national levels affect</w:t>
      </w:r>
      <w:r w:rsidR="00B4449B">
        <w:rPr>
          <w:rFonts w:ascii="Times New Roman" w:hAnsi="Times New Roman" w:cs="Times New Roman"/>
          <w:sz w:val="24"/>
          <w:szCs w:val="24"/>
        </w:rPr>
        <w:t>s</w:t>
      </w:r>
      <w:r w:rsidRPr="00C66A1F">
        <w:rPr>
          <w:rFonts w:ascii="Times New Roman" w:hAnsi="Times New Roman" w:cs="Times New Roman"/>
          <w:sz w:val="24"/>
          <w:szCs w:val="24"/>
        </w:rPr>
        <w:t xml:space="preserve"> students’ lives much more deeply than their ACCESS scores or the method of instruction chosen for them </w:t>
      </w:r>
      <w:r w:rsidRPr="00C66A1F">
        <w:rPr>
          <w:rFonts w:ascii="Times New Roman" w:hAnsi="Times New Roman" w:cs="Times New Roman"/>
          <w:sz w:val="24"/>
          <w:szCs w:val="24"/>
        </w:rPr>
        <w:lastRenderedPageBreak/>
        <w:t>will. Those of us who teach already know this; we grow to love many of our students as if our own children. We take ownership of both their success and their failure, feeling pride in their achievements and providing solutions and encouragement through their frustration because we understand that struggle attends learning and growth. Through interactions marked by vulnerability and risk-taking, we get to know our students as children and adolescents who have the same innocent wonderment, expressive fears, animated disappointment</w:t>
      </w:r>
      <w:r w:rsidR="00241DC6">
        <w:rPr>
          <w:rFonts w:ascii="Times New Roman" w:hAnsi="Times New Roman" w:cs="Times New Roman"/>
          <w:sz w:val="24"/>
          <w:szCs w:val="24"/>
        </w:rPr>
        <w:t>,</w:t>
      </w:r>
      <w:r w:rsidRPr="00C66A1F">
        <w:rPr>
          <w:rFonts w:ascii="Times New Roman" w:hAnsi="Times New Roman" w:cs="Times New Roman"/>
          <w:sz w:val="24"/>
          <w:szCs w:val="24"/>
        </w:rPr>
        <w:t xml:space="preserve"> and excitable natures as the children in our own families. We love them, we care about them, and we want them to be happy, healthy, and successful in life. In short, our shared experiences with our students forge bonds built around the dynamics of struggle.</w:t>
      </w:r>
    </w:p>
    <w:p w14:paraId="22188661" w14:textId="0517D0A4" w:rsidR="002821A1" w:rsidRDefault="009E6F53" w:rsidP="00C66A1F">
      <w:pPr>
        <w:spacing w:after="0" w:line="480" w:lineRule="auto"/>
        <w:rPr>
          <w:rFonts w:ascii="Times New Roman" w:hAnsi="Times New Roman" w:cs="Times New Roman"/>
          <w:sz w:val="24"/>
          <w:szCs w:val="24"/>
        </w:rPr>
      </w:pPr>
      <w:r w:rsidRPr="00C66A1F">
        <w:rPr>
          <w:rFonts w:ascii="Times New Roman" w:hAnsi="Times New Roman" w:cs="Times New Roman"/>
          <w:sz w:val="24"/>
          <w:szCs w:val="24"/>
        </w:rPr>
        <w:tab/>
        <w:t xml:space="preserve">The summer of 2018, however, marked by a deluge of executive orders and </w:t>
      </w:r>
      <w:r w:rsidR="00A848A3">
        <w:rPr>
          <w:rFonts w:ascii="Times New Roman" w:hAnsi="Times New Roman" w:cs="Times New Roman"/>
          <w:sz w:val="24"/>
          <w:szCs w:val="24"/>
        </w:rPr>
        <w:t xml:space="preserve">Federal Supreme Court </w:t>
      </w:r>
      <w:r w:rsidR="007A0DDB">
        <w:rPr>
          <w:rFonts w:ascii="Times New Roman" w:hAnsi="Times New Roman" w:cs="Times New Roman"/>
          <w:sz w:val="24"/>
          <w:szCs w:val="24"/>
        </w:rPr>
        <w:t xml:space="preserve">(SCOTUS) </w:t>
      </w:r>
      <w:r w:rsidR="00A848A3">
        <w:rPr>
          <w:rFonts w:ascii="Times New Roman" w:hAnsi="Times New Roman" w:cs="Times New Roman"/>
          <w:sz w:val="24"/>
          <w:szCs w:val="24"/>
        </w:rPr>
        <w:t>decisions</w:t>
      </w:r>
      <w:r w:rsidRPr="00C66A1F">
        <w:rPr>
          <w:rFonts w:ascii="Times New Roman" w:hAnsi="Times New Roman" w:cs="Times New Roman"/>
          <w:sz w:val="24"/>
          <w:szCs w:val="24"/>
        </w:rPr>
        <w:t xml:space="preserve"> </w:t>
      </w:r>
      <w:r w:rsidR="00AE0978">
        <w:rPr>
          <w:rFonts w:ascii="Times New Roman" w:hAnsi="Times New Roman" w:cs="Times New Roman"/>
          <w:sz w:val="24"/>
          <w:szCs w:val="24"/>
        </w:rPr>
        <w:t xml:space="preserve">made with </w:t>
      </w:r>
      <w:r w:rsidRPr="00C66A1F">
        <w:rPr>
          <w:rFonts w:ascii="Times New Roman" w:hAnsi="Times New Roman" w:cs="Times New Roman"/>
          <w:sz w:val="24"/>
          <w:szCs w:val="24"/>
        </w:rPr>
        <w:t xml:space="preserve">the express goal of unmaking decades of hard-won social justice work, has brought a new kind of struggle for our students. In June, the world watched in horror as more than 2,000 adolescents and young children were taken from their parents at the </w:t>
      </w:r>
      <w:r w:rsidR="0000497D">
        <w:rPr>
          <w:rFonts w:ascii="Times New Roman" w:hAnsi="Times New Roman" w:cs="Times New Roman"/>
          <w:sz w:val="24"/>
          <w:szCs w:val="24"/>
        </w:rPr>
        <w:t>borders</w:t>
      </w:r>
      <w:r w:rsidR="002671DB">
        <w:rPr>
          <w:rFonts w:ascii="Times New Roman" w:hAnsi="Times New Roman" w:cs="Times New Roman"/>
          <w:sz w:val="24"/>
          <w:szCs w:val="24"/>
        </w:rPr>
        <w:t xml:space="preserve"> they had crossed </w:t>
      </w:r>
      <w:r w:rsidRPr="00C66A1F">
        <w:rPr>
          <w:rFonts w:ascii="Times New Roman" w:hAnsi="Times New Roman" w:cs="Times New Roman"/>
          <w:sz w:val="24"/>
          <w:szCs w:val="24"/>
        </w:rPr>
        <w:t xml:space="preserve">to escape abject poverty and violence in </w:t>
      </w:r>
      <w:r w:rsidR="0000497D">
        <w:rPr>
          <w:rFonts w:ascii="Times New Roman" w:hAnsi="Times New Roman" w:cs="Times New Roman"/>
          <w:sz w:val="24"/>
          <w:szCs w:val="24"/>
        </w:rPr>
        <w:t xml:space="preserve">Mexico and </w:t>
      </w:r>
      <w:r w:rsidRPr="00C66A1F">
        <w:rPr>
          <w:rFonts w:ascii="Times New Roman" w:hAnsi="Times New Roman" w:cs="Times New Roman"/>
          <w:sz w:val="24"/>
          <w:szCs w:val="24"/>
        </w:rPr>
        <w:t>Central America. Images of children in cages, branded into our hearts and minds, led even people associated with hardened, unwelcoming views about otherness to openly express disquietude. In July, SCOTUS set down a decision to uphold Presidential Proclamation No. 9645, a travel ban from six Muslim majority countries, thereby enacting President Trump’s explicitly stated desire for “a total and complete shutdown of Muslims entering the United States,” according to his own website (Sotomayor, 2018). Writing the dissenting opinion for herself and Justice Ginsburg, Justice Sotomayor contends that the Court’s decision disregards the Establishment Clause, which forbids the United States government</w:t>
      </w:r>
      <w:r w:rsidR="00C66A1F" w:rsidRPr="00C66A1F">
        <w:rPr>
          <w:rFonts w:ascii="Times New Roman" w:hAnsi="Times New Roman" w:cs="Times New Roman"/>
          <w:sz w:val="24"/>
          <w:szCs w:val="24"/>
        </w:rPr>
        <w:t xml:space="preserve"> from exhibiting disfavor or hostility towards any religion. Justice Sotomayor catalogs numerous anti-Muslim sentiments that </w:t>
      </w:r>
      <w:r w:rsidR="00C66A1F" w:rsidRPr="00C66A1F">
        <w:rPr>
          <w:rFonts w:ascii="Times New Roman" w:hAnsi="Times New Roman" w:cs="Times New Roman"/>
          <w:sz w:val="24"/>
          <w:szCs w:val="24"/>
        </w:rPr>
        <w:lastRenderedPageBreak/>
        <w:t xml:space="preserve">President Trump has openly expressed, noting that because this animosity towards Muslims began well before the 2016 election, President Trump’s claim of (nondisclosed) national security concerns is not credible. Justice Sotomayor reminds us that the SCOTUS decision belies a national identity that places the First Amendment as its centerpiece. We enjoy thinking of our nation as one built by immigrants, finding great strength in diversity, and we hold our personal liberties as an exemplar to the rest of the world to aspire towards (Sotomayor, 2018). </w:t>
      </w:r>
      <w:r w:rsidR="00FA3D29">
        <w:rPr>
          <w:rFonts w:ascii="Times New Roman" w:hAnsi="Times New Roman" w:cs="Times New Roman"/>
          <w:sz w:val="24"/>
          <w:szCs w:val="24"/>
        </w:rPr>
        <w:t xml:space="preserve">The truth is, we do not yet know all ways that the Supreme Court decision and the Trump administration’s anti-immigrant policies will affect our students, but history has shown that they will not go unscathed. </w:t>
      </w:r>
      <w:r w:rsidR="002821A1">
        <w:rPr>
          <w:rFonts w:ascii="Times New Roman" w:hAnsi="Times New Roman" w:cs="Times New Roman"/>
          <w:sz w:val="24"/>
          <w:szCs w:val="24"/>
        </w:rPr>
        <w:t>These decisions have and will continue to hit our society hard (e.g., Sadowski-Smith &amp; Li, 2016; Sanchez, 2017), but they will be particularly damaging to ELL students and their families, even those far removed from border cities and airports. These decisions will inevitably make both teaching work and equity work challenging.</w:t>
      </w:r>
    </w:p>
    <w:p w14:paraId="20616250" w14:textId="77777777" w:rsidR="003D7319" w:rsidRDefault="002821A1" w:rsidP="00C66A1F">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Linguicism, immigration status, race, gender, and socioeconomic status have always intersected to complexify the ways in which hostility is raised and leveled against </w:t>
      </w:r>
      <w:r w:rsidR="00F31CF3">
        <w:rPr>
          <w:rFonts w:ascii="Times New Roman" w:hAnsi="Times New Roman" w:cs="Times New Roman"/>
          <w:sz w:val="24"/>
          <w:szCs w:val="24"/>
        </w:rPr>
        <w:t xml:space="preserve">many of our </w:t>
      </w:r>
      <w:r>
        <w:rPr>
          <w:rFonts w:ascii="Times New Roman" w:hAnsi="Times New Roman" w:cs="Times New Roman"/>
          <w:sz w:val="24"/>
          <w:szCs w:val="24"/>
        </w:rPr>
        <w:t>ELLs. Yet institutions that have, at least for the past three decades, sought to protect the civil and educational rights of ELLS now try to legitimize sentiments that challenge basic human rights. This fear and distrust of outside</w:t>
      </w:r>
      <w:r w:rsidR="00E05E1D">
        <w:rPr>
          <w:rFonts w:ascii="Times New Roman" w:hAnsi="Times New Roman" w:cs="Times New Roman"/>
          <w:sz w:val="24"/>
          <w:szCs w:val="24"/>
        </w:rPr>
        <w:t>r</w:t>
      </w:r>
      <w:r>
        <w:rPr>
          <w:rFonts w:ascii="Times New Roman" w:hAnsi="Times New Roman" w:cs="Times New Roman"/>
          <w:sz w:val="24"/>
          <w:szCs w:val="24"/>
        </w:rPr>
        <w:t xml:space="preserve">s is not driven by immigration data—border crossings dropped 80% from 2000-2017 as part of a trend that began under the Bush administration (Lee, 2017)—nor is it fueled by real threats of Islamic terrorism (Horgan &amp; Shortland, 2018). </w:t>
      </w:r>
    </w:p>
    <w:p w14:paraId="7D3DEA63" w14:textId="77777777" w:rsidR="00D50611" w:rsidRDefault="003D7319" w:rsidP="00216E4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Researchers have </w:t>
      </w:r>
      <w:r w:rsidR="00B82659">
        <w:rPr>
          <w:rFonts w:ascii="Times New Roman" w:hAnsi="Times New Roman" w:cs="Times New Roman"/>
          <w:sz w:val="24"/>
          <w:szCs w:val="24"/>
        </w:rPr>
        <w:t xml:space="preserve">offered several explanations for the rising </w:t>
      </w:r>
      <w:r>
        <w:rPr>
          <w:rFonts w:ascii="Times New Roman" w:hAnsi="Times New Roman" w:cs="Times New Roman"/>
          <w:sz w:val="24"/>
          <w:szCs w:val="24"/>
        </w:rPr>
        <w:t>anti-immigration</w:t>
      </w:r>
      <w:r w:rsidR="00B82659">
        <w:rPr>
          <w:rFonts w:ascii="Times New Roman" w:hAnsi="Times New Roman" w:cs="Times New Roman"/>
          <w:sz w:val="24"/>
          <w:szCs w:val="24"/>
        </w:rPr>
        <w:t xml:space="preserve"> wave. </w:t>
      </w:r>
      <w:r w:rsidR="005B3222">
        <w:rPr>
          <w:rFonts w:ascii="Times New Roman" w:hAnsi="Times New Roman" w:cs="Times New Roman"/>
          <w:sz w:val="24"/>
          <w:szCs w:val="24"/>
        </w:rPr>
        <w:t>Mutz (2018) reports results from a Pew Research poll suggesting that white privilege—</w:t>
      </w:r>
      <w:r w:rsidR="000E6DC5">
        <w:rPr>
          <w:rFonts w:ascii="Times New Roman" w:hAnsi="Times New Roman" w:cs="Times New Roman"/>
          <w:sz w:val="24"/>
          <w:szCs w:val="24"/>
        </w:rPr>
        <w:t xml:space="preserve">perhaps </w:t>
      </w:r>
      <w:r w:rsidR="005B3222">
        <w:rPr>
          <w:rFonts w:ascii="Times New Roman" w:hAnsi="Times New Roman" w:cs="Times New Roman"/>
          <w:sz w:val="24"/>
          <w:szCs w:val="24"/>
        </w:rPr>
        <w:t xml:space="preserve">the only vestibule of power available to poor, uneducated white Americans—may lie beneath uncomfortable feelings towards </w:t>
      </w:r>
      <w:r w:rsidR="00C62FAC">
        <w:rPr>
          <w:rFonts w:ascii="Times New Roman" w:hAnsi="Times New Roman" w:cs="Times New Roman"/>
          <w:sz w:val="24"/>
          <w:szCs w:val="24"/>
        </w:rPr>
        <w:t xml:space="preserve">outsiders that </w:t>
      </w:r>
      <w:r w:rsidR="00747728">
        <w:rPr>
          <w:rFonts w:ascii="Times New Roman" w:hAnsi="Times New Roman" w:cs="Times New Roman"/>
          <w:sz w:val="24"/>
          <w:szCs w:val="24"/>
        </w:rPr>
        <w:t xml:space="preserve">have </w:t>
      </w:r>
      <w:r w:rsidR="00C62FAC">
        <w:rPr>
          <w:rFonts w:ascii="Times New Roman" w:hAnsi="Times New Roman" w:cs="Times New Roman"/>
          <w:sz w:val="24"/>
          <w:szCs w:val="24"/>
        </w:rPr>
        <w:t>fuel</w:t>
      </w:r>
      <w:r w:rsidR="00747728">
        <w:rPr>
          <w:rFonts w:ascii="Times New Roman" w:hAnsi="Times New Roman" w:cs="Times New Roman"/>
          <w:sz w:val="24"/>
          <w:szCs w:val="24"/>
        </w:rPr>
        <w:t>ed</w:t>
      </w:r>
      <w:r w:rsidR="00C62FAC">
        <w:rPr>
          <w:rFonts w:ascii="Times New Roman" w:hAnsi="Times New Roman" w:cs="Times New Roman"/>
          <w:sz w:val="24"/>
          <w:szCs w:val="24"/>
        </w:rPr>
        <w:t xml:space="preserve"> Trump’s anti-immigration agenda</w:t>
      </w:r>
      <w:r>
        <w:rPr>
          <w:rFonts w:ascii="Times New Roman" w:hAnsi="Times New Roman" w:cs="Times New Roman"/>
          <w:sz w:val="24"/>
          <w:szCs w:val="24"/>
        </w:rPr>
        <w:t xml:space="preserve">.  </w:t>
      </w:r>
      <w:bookmarkStart w:id="0" w:name="_GoBack"/>
      <w:r w:rsidR="005B3222">
        <w:rPr>
          <w:rFonts w:ascii="Times New Roman" w:hAnsi="Times New Roman" w:cs="Times New Roman"/>
          <w:sz w:val="24"/>
          <w:szCs w:val="24"/>
        </w:rPr>
        <w:lastRenderedPageBreak/>
        <w:t xml:space="preserve">Massey, Durand, and </w:t>
      </w:r>
      <w:proofErr w:type="spellStart"/>
      <w:r w:rsidR="005B3222">
        <w:rPr>
          <w:rFonts w:ascii="Times New Roman" w:hAnsi="Times New Roman" w:cs="Times New Roman"/>
          <w:sz w:val="24"/>
          <w:szCs w:val="24"/>
        </w:rPr>
        <w:t>Pren</w:t>
      </w:r>
      <w:proofErr w:type="spellEnd"/>
      <w:r w:rsidR="005B3222">
        <w:rPr>
          <w:rFonts w:ascii="Times New Roman" w:hAnsi="Times New Roman" w:cs="Times New Roman"/>
          <w:sz w:val="24"/>
          <w:szCs w:val="24"/>
        </w:rPr>
        <w:t xml:space="preserve"> </w:t>
      </w:r>
      <w:bookmarkEnd w:id="0"/>
      <w:r w:rsidR="005B3222">
        <w:rPr>
          <w:rFonts w:ascii="Times New Roman" w:hAnsi="Times New Roman" w:cs="Times New Roman"/>
          <w:sz w:val="24"/>
          <w:szCs w:val="24"/>
        </w:rPr>
        <w:t xml:space="preserve">(2016) explain that our perception of warmth and competence of out-group members drives our behavior towards them. </w:t>
      </w:r>
      <w:r w:rsidR="008D6C10">
        <w:rPr>
          <w:rFonts w:ascii="Times New Roman" w:hAnsi="Times New Roman" w:cs="Times New Roman"/>
          <w:sz w:val="24"/>
          <w:szCs w:val="24"/>
        </w:rPr>
        <w:t>T</w:t>
      </w:r>
      <w:r w:rsidR="005B3222">
        <w:rPr>
          <w:rFonts w:ascii="Times New Roman" w:hAnsi="Times New Roman" w:cs="Times New Roman"/>
          <w:sz w:val="24"/>
          <w:szCs w:val="24"/>
        </w:rPr>
        <w:t>he social structure hypothesis</w:t>
      </w:r>
      <w:r w:rsidR="007B0482">
        <w:rPr>
          <w:rFonts w:ascii="Times New Roman" w:hAnsi="Times New Roman" w:cs="Times New Roman"/>
          <w:sz w:val="24"/>
          <w:szCs w:val="24"/>
        </w:rPr>
        <w:t xml:space="preserve"> </w:t>
      </w:r>
      <w:r w:rsidR="005B3222">
        <w:rPr>
          <w:rFonts w:ascii="Times New Roman" w:hAnsi="Times New Roman" w:cs="Times New Roman"/>
          <w:sz w:val="24"/>
          <w:szCs w:val="24"/>
        </w:rPr>
        <w:t>(Fiske et al.,</w:t>
      </w:r>
      <w:r w:rsidR="00D57808">
        <w:rPr>
          <w:rFonts w:ascii="Times New Roman" w:hAnsi="Times New Roman" w:cs="Times New Roman"/>
          <w:sz w:val="24"/>
          <w:szCs w:val="24"/>
        </w:rPr>
        <w:t xml:space="preserve"> 2</w:t>
      </w:r>
      <w:r w:rsidR="005B3222">
        <w:rPr>
          <w:rFonts w:ascii="Times New Roman" w:hAnsi="Times New Roman" w:cs="Times New Roman"/>
          <w:sz w:val="24"/>
          <w:szCs w:val="24"/>
        </w:rPr>
        <w:t>002)</w:t>
      </w:r>
      <w:r w:rsidR="008D6C10">
        <w:rPr>
          <w:rFonts w:ascii="Times New Roman" w:hAnsi="Times New Roman" w:cs="Times New Roman"/>
          <w:sz w:val="24"/>
          <w:szCs w:val="24"/>
        </w:rPr>
        <w:t xml:space="preserve"> holds</w:t>
      </w:r>
      <w:r w:rsidR="005B3222">
        <w:rPr>
          <w:rFonts w:ascii="Times New Roman" w:hAnsi="Times New Roman" w:cs="Times New Roman"/>
          <w:sz w:val="24"/>
          <w:szCs w:val="24"/>
        </w:rPr>
        <w:t xml:space="preserve"> </w:t>
      </w:r>
      <w:r w:rsidR="00BE6E1C">
        <w:rPr>
          <w:rFonts w:ascii="Times New Roman" w:hAnsi="Times New Roman" w:cs="Times New Roman"/>
          <w:sz w:val="24"/>
          <w:szCs w:val="24"/>
        </w:rPr>
        <w:t xml:space="preserve">that </w:t>
      </w:r>
      <w:r w:rsidR="005B3222">
        <w:rPr>
          <w:rFonts w:ascii="Times New Roman" w:hAnsi="Times New Roman" w:cs="Times New Roman"/>
          <w:sz w:val="24"/>
          <w:szCs w:val="24"/>
        </w:rPr>
        <w:t>individuals are apt to consider people possessing power and wealth to have competence, while “attributions of warm</w:t>
      </w:r>
      <w:r w:rsidR="00BE6E1C">
        <w:rPr>
          <w:rFonts w:ascii="Times New Roman" w:hAnsi="Times New Roman" w:cs="Times New Roman"/>
          <w:sz w:val="24"/>
          <w:szCs w:val="24"/>
        </w:rPr>
        <w:t>th</w:t>
      </w:r>
      <w:r w:rsidR="005B3222">
        <w:rPr>
          <w:rFonts w:ascii="Times New Roman" w:hAnsi="Times New Roman" w:cs="Times New Roman"/>
          <w:sz w:val="24"/>
          <w:szCs w:val="24"/>
        </w:rPr>
        <w:t xml:space="preserve"> help maintain the status quo” (p. 881) by positioning those we view as our competition as cold</w:t>
      </w:r>
      <w:r w:rsidR="00C55CA7">
        <w:rPr>
          <w:rFonts w:ascii="Times New Roman" w:hAnsi="Times New Roman" w:cs="Times New Roman"/>
          <w:sz w:val="24"/>
          <w:szCs w:val="24"/>
        </w:rPr>
        <w:t xml:space="preserve"> or unfeeling</w:t>
      </w:r>
      <w:r w:rsidR="005B3222">
        <w:rPr>
          <w:rFonts w:ascii="Times New Roman" w:hAnsi="Times New Roman" w:cs="Times New Roman"/>
          <w:sz w:val="24"/>
          <w:szCs w:val="24"/>
        </w:rPr>
        <w:t>. Thus, when a public narrative posing immigrants as invaders and criminals (e.g., “illegal”)</w:t>
      </w:r>
      <w:r w:rsidR="00166450">
        <w:rPr>
          <w:rFonts w:ascii="Times New Roman" w:hAnsi="Times New Roman" w:cs="Times New Roman"/>
          <w:sz w:val="24"/>
          <w:szCs w:val="24"/>
        </w:rPr>
        <w:t xml:space="preserve">—as </w:t>
      </w:r>
      <w:r w:rsidR="00F90204">
        <w:rPr>
          <w:rFonts w:ascii="Times New Roman" w:hAnsi="Times New Roman" w:cs="Times New Roman"/>
          <w:sz w:val="24"/>
          <w:szCs w:val="24"/>
        </w:rPr>
        <w:t xml:space="preserve">a </w:t>
      </w:r>
      <w:r w:rsidR="00166450">
        <w:rPr>
          <w:rFonts w:ascii="Times New Roman" w:hAnsi="Times New Roman" w:cs="Times New Roman"/>
          <w:sz w:val="24"/>
          <w:szCs w:val="24"/>
        </w:rPr>
        <w:t>well-established method of instilling fear of others—joins with politically-crafted narratives that exploit social stereotypes of poor migrants as incompetent and here to take our jobs, it results in hostility towards them</w:t>
      </w:r>
      <w:r w:rsidR="00B82659">
        <w:rPr>
          <w:rFonts w:ascii="Times New Roman" w:hAnsi="Times New Roman" w:cs="Times New Roman"/>
          <w:sz w:val="24"/>
          <w:szCs w:val="24"/>
        </w:rPr>
        <w:t xml:space="preserve"> and to the </w:t>
      </w:r>
      <w:r w:rsidR="00166450">
        <w:rPr>
          <w:rFonts w:ascii="Times New Roman" w:hAnsi="Times New Roman" w:cs="Times New Roman"/>
          <w:sz w:val="24"/>
          <w:szCs w:val="24"/>
        </w:rPr>
        <w:t xml:space="preserve">ill-informed policies </w:t>
      </w:r>
      <w:r w:rsidR="00B82659">
        <w:rPr>
          <w:rFonts w:ascii="Times New Roman" w:hAnsi="Times New Roman" w:cs="Times New Roman"/>
          <w:sz w:val="24"/>
          <w:szCs w:val="24"/>
        </w:rPr>
        <w:t>we see today.</w:t>
      </w:r>
      <w:r w:rsidR="00351FF3">
        <w:rPr>
          <w:rFonts w:ascii="Times New Roman" w:hAnsi="Times New Roman" w:cs="Times New Roman"/>
          <w:sz w:val="24"/>
          <w:szCs w:val="24"/>
        </w:rPr>
        <w:t xml:space="preserve"> </w:t>
      </w:r>
      <w:r w:rsidR="00D50611">
        <w:rPr>
          <w:rFonts w:ascii="Times New Roman" w:hAnsi="Times New Roman" w:cs="Times New Roman"/>
          <w:sz w:val="24"/>
          <w:szCs w:val="24"/>
        </w:rPr>
        <w:t>Regardless of the causes</w:t>
      </w:r>
      <w:r w:rsidR="00166450">
        <w:rPr>
          <w:rFonts w:ascii="Times New Roman" w:hAnsi="Times New Roman" w:cs="Times New Roman"/>
          <w:sz w:val="24"/>
          <w:szCs w:val="24"/>
        </w:rPr>
        <w:t>, social science research support</w:t>
      </w:r>
      <w:r w:rsidR="00D50611">
        <w:rPr>
          <w:rFonts w:ascii="Times New Roman" w:hAnsi="Times New Roman" w:cs="Times New Roman"/>
          <w:sz w:val="24"/>
          <w:szCs w:val="24"/>
        </w:rPr>
        <w:t>s</w:t>
      </w:r>
      <w:r w:rsidR="00166450">
        <w:rPr>
          <w:rFonts w:ascii="Times New Roman" w:hAnsi="Times New Roman" w:cs="Times New Roman"/>
          <w:sz w:val="24"/>
          <w:szCs w:val="24"/>
        </w:rPr>
        <w:t xml:space="preserve"> more fluidity between borders, acknowledging that solutions to labor supply and demand are found between borders. </w:t>
      </w:r>
    </w:p>
    <w:p w14:paraId="329946CF" w14:textId="2509D9D7" w:rsidR="00B85F7E" w:rsidRDefault="00166450" w:rsidP="00216E4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are real economic benefits to </w:t>
      </w:r>
      <w:r w:rsidR="00D50611">
        <w:rPr>
          <w:rFonts w:ascii="Times New Roman" w:hAnsi="Times New Roman" w:cs="Times New Roman"/>
          <w:sz w:val="24"/>
          <w:szCs w:val="24"/>
        </w:rPr>
        <w:t xml:space="preserve">diverse </w:t>
      </w:r>
      <w:r>
        <w:rPr>
          <w:rFonts w:ascii="Times New Roman" w:hAnsi="Times New Roman" w:cs="Times New Roman"/>
          <w:sz w:val="24"/>
          <w:szCs w:val="24"/>
        </w:rPr>
        <w:t>inclusion in the form of increased revenue, born through increases in innovation, retention, morale, and client engagement (Kaplan &amp; Donovan, 2013)</w:t>
      </w:r>
      <w:r w:rsidR="00C90295">
        <w:rPr>
          <w:rFonts w:ascii="Times New Roman" w:hAnsi="Times New Roman" w:cs="Times New Roman"/>
          <w:sz w:val="24"/>
          <w:szCs w:val="24"/>
        </w:rPr>
        <w:t xml:space="preserve">, and an increasing body of research suggests that the power of </w:t>
      </w:r>
      <w:r w:rsidR="00D62D69">
        <w:rPr>
          <w:rFonts w:ascii="Times New Roman" w:hAnsi="Times New Roman" w:cs="Times New Roman"/>
          <w:sz w:val="24"/>
          <w:szCs w:val="24"/>
        </w:rPr>
        <w:t>divers</w:t>
      </w:r>
      <w:r w:rsidR="00261F3A">
        <w:rPr>
          <w:rFonts w:ascii="Times New Roman" w:hAnsi="Times New Roman" w:cs="Times New Roman"/>
          <w:sz w:val="24"/>
          <w:szCs w:val="24"/>
        </w:rPr>
        <w:t>e groups to solve problems and make innovative decisions is s</w:t>
      </w:r>
      <w:r w:rsidR="00D62D69">
        <w:rPr>
          <w:rFonts w:ascii="Times New Roman" w:hAnsi="Times New Roman" w:cs="Times New Roman"/>
          <w:sz w:val="24"/>
          <w:szCs w:val="24"/>
        </w:rPr>
        <w:t xml:space="preserve">o </w:t>
      </w:r>
      <w:r w:rsidR="009B2A5E">
        <w:rPr>
          <w:rFonts w:ascii="Times New Roman" w:hAnsi="Times New Roman" w:cs="Times New Roman"/>
          <w:sz w:val="24"/>
          <w:szCs w:val="24"/>
        </w:rPr>
        <w:t>powerful</w:t>
      </w:r>
      <w:r w:rsidR="00D62D69">
        <w:rPr>
          <w:rFonts w:ascii="Times New Roman" w:hAnsi="Times New Roman" w:cs="Times New Roman"/>
          <w:sz w:val="24"/>
          <w:szCs w:val="24"/>
        </w:rPr>
        <w:t xml:space="preserve"> that</w:t>
      </w:r>
      <w:r w:rsidR="00261F3A">
        <w:rPr>
          <w:rFonts w:ascii="Times New Roman" w:hAnsi="Times New Roman" w:cs="Times New Roman"/>
          <w:sz w:val="24"/>
          <w:szCs w:val="24"/>
        </w:rPr>
        <w:t xml:space="preserve"> </w:t>
      </w:r>
      <w:r w:rsidR="00F05755">
        <w:rPr>
          <w:rFonts w:ascii="Times New Roman" w:hAnsi="Times New Roman" w:cs="Times New Roman"/>
          <w:sz w:val="24"/>
          <w:szCs w:val="24"/>
        </w:rPr>
        <w:t xml:space="preserve">the </w:t>
      </w:r>
      <w:r w:rsidR="00261F3A">
        <w:rPr>
          <w:rFonts w:ascii="Times New Roman" w:hAnsi="Times New Roman" w:cs="Times New Roman"/>
          <w:sz w:val="24"/>
          <w:szCs w:val="24"/>
        </w:rPr>
        <w:t xml:space="preserve">diversity </w:t>
      </w:r>
      <w:r w:rsidR="00F05755">
        <w:rPr>
          <w:rFonts w:ascii="Times New Roman" w:hAnsi="Times New Roman" w:cs="Times New Roman"/>
          <w:sz w:val="24"/>
          <w:szCs w:val="24"/>
        </w:rPr>
        <w:t>of</w:t>
      </w:r>
      <w:r w:rsidR="00261F3A">
        <w:rPr>
          <w:rFonts w:ascii="Times New Roman" w:hAnsi="Times New Roman" w:cs="Times New Roman"/>
          <w:sz w:val="24"/>
          <w:szCs w:val="24"/>
        </w:rPr>
        <w:t xml:space="preserve"> group participants outweigh</w:t>
      </w:r>
      <w:r w:rsidR="00F05755">
        <w:rPr>
          <w:rFonts w:ascii="Times New Roman" w:hAnsi="Times New Roman" w:cs="Times New Roman"/>
          <w:sz w:val="24"/>
          <w:szCs w:val="24"/>
        </w:rPr>
        <w:t>s</w:t>
      </w:r>
      <w:r w:rsidR="00261F3A">
        <w:rPr>
          <w:rFonts w:ascii="Times New Roman" w:hAnsi="Times New Roman" w:cs="Times New Roman"/>
          <w:sz w:val="24"/>
          <w:szCs w:val="24"/>
        </w:rPr>
        <w:t xml:space="preserve"> </w:t>
      </w:r>
      <w:r w:rsidR="00F05755">
        <w:rPr>
          <w:rFonts w:ascii="Times New Roman" w:hAnsi="Times New Roman" w:cs="Times New Roman"/>
          <w:sz w:val="24"/>
          <w:szCs w:val="24"/>
        </w:rPr>
        <w:t>even the IQ of</w:t>
      </w:r>
      <w:r w:rsidR="00261F3A">
        <w:rPr>
          <w:rFonts w:ascii="Times New Roman" w:hAnsi="Times New Roman" w:cs="Times New Roman"/>
          <w:sz w:val="24"/>
          <w:szCs w:val="24"/>
        </w:rPr>
        <w:t xml:space="preserve"> group </w:t>
      </w:r>
      <w:r w:rsidR="00F05755">
        <w:rPr>
          <w:rFonts w:ascii="Times New Roman" w:hAnsi="Times New Roman" w:cs="Times New Roman"/>
          <w:sz w:val="24"/>
          <w:szCs w:val="24"/>
        </w:rPr>
        <w:t xml:space="preserve">members when it comes to </w:t>
      </w:r>
      <w:r w:rsidR="009B2A5E">
        <w:rPr>
          <w:rFonts w:ascii="Times New Roman" w:hAnsi="Times New Roman" w:cs="Times New Roman"/>
          <w:sz w:val="24"/>
          <w:szCs w:val="24"/>
        </w:rPr>
        <w:t xml:space="preserve">solving </w:t>
      </w:r>
      <w:r w:rsidR="00D24344">
        <w:rPr>
          <w:rFonts w:ascii="Times New Roman" w:hAnsi="Times New Roman" w:cs="Times New Roman"/>
          <w:sz w:val="24"/>
          <w:szCs w:val="24"/>
        </w:rPr>
        <w:t>a</w:t>
      </w:r>
      <w:r w:rsidR="009B2A5E">
        <w:rPr>
          <w:rFonts w:ascii="Times New Roman" w:hAnsi="Times New Roman" w:cs="Times New Roman"/>
          <w:sz w:val="24"/>
          <w:szCs w:val="24"/>
        </w:rPr>
        <w:t xml:space="preserve"> </w:t>
      </w:r>
      <w:r w:rsidR="00F05755">
        <w:rPr>
          <w:rFonts w:ascii="Times New Roman" w:hAnsi="Times New Roman" w:cs="Times New Roman"/>
          <w:sz w:val="24"/>
          <w:szCs w:val="24"/>
        </w:rPr>
        <w:t>complex problem</w:t>
      </w:r>
      <w:r w:rsidR="00C90295">
        <w:rPr>
          <w:rFonts w:ascii="Times New Roman" w:hAnsi="Times New Roman" w:cs="Times New Roman"/>
          <w:sz w:val="24"/>
          <w:szCs w:val="24"/>
        </w:rPr>
        <w:t xml:space="preserve"> (Johnson, 2018)</w:t>
      </w:r>
      <w:r w:rsidR="00261F3A">
        <w:rPr>
          <w:rFonts w:ascii="Times New Roman" w:hAnsi="Times New Roman" w:cs="Times New Roman"/>
          <w:sz w:val="24"/>
          <w:szCs w:val="24"/>
        </w:rPr>
        <w:t xml:space="preserve">. </w:t>
      </w:r>
      <w:r w:rsidR="00D50611">
        <w:rPr>
          <w:rFonts w:ascii="Times New Roman" w:hAnsi="Times New Roman" w:cs="Times New Roman"/>
          <w:sz w:val="24"/>
          <w:szCs w:val="24"/>
        </w:rPr>
        <w:t xml:space="preserve"> </w:t>
      </w:r>
      <w:r w:rsidR="0070413C" w:rsidRPr="0070413C">
        <w:rPr>
          <w:rFonts w:ascii="Times New Roman" w:hAnsi="Times New Roman" w:cs="Times New Roman"/>
          <w:sz w:val="24"/>
          <w:szCs w:val="24"/>
        </w:rPr>
        <w:t>Perhaps Americans w</w:t>
      </w:r>
      <w:r w:rsidR="00F6492D">
        <w:rPr>
          <w:rFonts w:ascii="Times New Roman" w:hAnsi="Times New Roman" w:cs="Times New Roman"/>
          <w:sz w:val="24"/>
          <w:szCs w:val="24"/>
        </w:rPr>
        <w:t>ill</w:t>
      </w:r>
      <w:r w:rsidR="0070413C" w:rsidRPr="0070413C">
        <w:rPr>
          <w:rFonts w:ascii="Times New Roman" w:hAnsi="Times New Roman" w:cs="Times New Roman"/>
          <w:sz w:val="24"/>
          <w:szCs w:val="24"/>
        </w:rPr>
        <w:t xml:space="preserve"> </w:t>
      </w:r>
      <w:r w:rsidR="00203C59">
        <w:rPr>
          <w:rFonts w:ascii="Times New Roman" w:hAnsi="Times New Roman" w:cs="Times New Roman"/>
          <w:sz w:val="24"/>
          <w:szCs w:val="24"/>
        </w:rPr>
        <w:t xml:space="preserve">grow to </w:t>
      </w:r>
      <w:r w:rsidR="0070413C" w:rsidRPr="0070413C">
        <w:rPr>
          <w:rFonts w:ascii="Times New Roman" w:hAnsi="Times New Roman" w:cs="Times New Roman"/>
          <w:sz w:val="24"/>
          <w:szCs w:val="24"/>
        </w:rPr>
        <w:t xml:space="preserve">welcome guest workers, residents, and new citizens </w:t>
      </w:r>
      <w:r w:rsidR="00B347EA">
        <w:rPr>
          <w:rFonts w:ascii="Times New Roman" w:hAnsi="Times New Roman" w:cs="Times New Roman"/>
          <w:sz w:val="24"/>
          <w:szCs w:val="24"/>
        </w:rPr>
        <w:t>of diverse backgrounds</w:t>
      </w:r>
      <w:r w:rsidR="0070413C" w:rsidRPr="0070413C">
        <w:rPr>
          <w:rFonts w:ascii="Times New Roman" w:hAnsi="Times New Roman" w:cs="Times New Roman"/>
          <w:sz w:val="24"/>
          <w:szCs w:val="24"/>
        </w:rPr>
        <w:t xml:space="preserve"> </w:t>
      </w:r>
      <w:r w:rsidR="0086173A">
        <w:rPr>
          <w:rFonts w:ascii="Times New Roman" w:hAnsi="Times New Roman" w:cs="Times New Roman"/>
          <w:sz w:val="24"/>
          <w:szCs w:val="24"/>
        </w:rPr>
        <w:t>only as they</w:t>
      </w:r>
      <w:r w:rsidR="00203C59">
        <w:rPr>
          <w:rFonts w:ascii="Times New Roman" w:hAnsi="Times New Roman" w:cs="Times New Roman"/>
          <w:sz w:val="24"/>
          <w:szCs w:val="24"/>
        </w:rPr>
        <w:t xml:space="preserve"> g</w:t>
      </w:r>
      <w:r w:rsidR="0070413C" w:rsidRPr="0070413C">
        <w:rPr>
          <w:rFonts w:ascii="Times New Roman" w:hAnsi="Times New Roman" w:cs="Times New Roman"/>
          <w:sz w:val="24"/>
          <w:szCs w:val="24"/>
        </w:rPr>
        <w:t>ain</w:t>
      </w:r>
      <w:r w:rsidR="00203C59">
        <w:rPr>
          <w:rFonts w:ascii="Times New Roman" w:hAnsi="Times New Roman" w:cs="Times New Roman"/>
          <w:sz w:val="24"/>
          <w:szCs w:val="24"/>
        </w:rPr>
        <w:t xml:space="preserve"> </w:t>
      </w:r>
      <w:r w:rsidR="0070413C" w:rsidRPr="0070413C">
        <w:rPr>
          <w:rFonts w:ascii="Times New Roman" w:hAnsi="Times New Roman" w:cs="Times New Roman"/>
          <w:sz w:val="24"/>
          <w:szCs w:val="24"/>
        </w:rPr>
        <w:t>awareness of and appreciation for the benefits of diverse skills, experiences, language resources, and worldviews that migrants</w:t>
      </w:r>
      <w:proofErr w:type="gramStart"/>
      <w:r w:rsidR="0070413C" w:rsidRPr="0070413C">
        <w:rPr>
          <w:rFonts w:ascii="Times New Roman" w:hAnsi="Times New Roman" w:cs="Times New Roman"/>
          <w:sz w:val="24"/>
          <w:szCs w:val="24"/>
        </w:rPr>
        <w:t>—in reality—provide</w:t>
      </w:r>
      <w:proofErr w:type="gramEnd"/>
      <w:r w:rsidR="0070413C" w:rsidRPr="0070413C">
        <w:rPr>
          <w:rFonts w:ascii="Times New Roman" w:hAnsi="Times New Roman" w:cs="Times New Roman"/>
          <w:sz w:val="24"/>
          <w:szCs w:val="24"/>
        </w:rPr>
        <w:t>.</w:t>
      </w:r>
      <w:r w:rsidR="00F6492D">
        <w:rPr>
          <w:rFonts w:ascii="Times New Roman" w:hAnsi="Times New Roman" w:cs="Times New Roman"/>
          <w:sz w:val="24"/>
          <w:szCs w:val="24"/>
        </w:rPr>
        <w:t xml:space="preserve"> As ELL instructors, we are in a unique position to demonstrate</w:t>
      </w:r>
      <w:r w:rsidR="0086173A">
        <w:rPr>
          <w:rFonts w:ascii="Times New Roman" w:hAnsi="Times New Roman" w:cs="Times New Roman"/>
          <w:sz w:val="24"/>
          <w:szCs w:val="24"/>
        </w:rPr>
        <w:t xml:space="preserve"> the insights that our students offer in group dynamics while also affirming, valuing and appreciating them. Gorski (2018) outlines 12 strategies for </w:t>
      </w:r>
      <w:r w:rsidR="009F4094">
        <w:rPr>
          <w:rFonts w:ascii="Times New Roman" w:hAnsi="Times New Roman" w:cs="Times New Roman"/>
          <w:sz w:val="24"/>
          <w:szCs w:val="24"/>
        </w:rPr>
        <w:t xml:space="preserve">enacting what he terms “equity literacy” (p. 19). Among these strategies, the “most fundamental of them all” </w:t>
      </w:r>
      <w:r w:rsidR="00BB1D88">
        <w:rPr>
          <w:rFonts w:ascii="Times New Roman" w:hAnsi="Times New Roman" w:cs="Times New Roman"/>
          <w:sz w:val="24"/>
          <w:szCs w:val="24"/>
        </w:rPr>
        <w:t xml:space="preserve">involves </w:t>
      </w:r>
      <w:r w:rsidR="009F4094">
        <w:rPr>
          <w:rFonts w:ascii="Times New Roman" w:hAnsi="Times New Roman" w:cs="Times New Roman"/>
          <w:sz w:val="24"/>
          <w:szCs w:val="24"/>
        </w:rPr>
        <w:t xml:space="preserve">a commitment to making “equity, not </w:t>
      </w:r>
      <w:r w:rsidR="009F4094" w:rsidRPr="009F4094">
        <w:rPr>
          <w:rFonts w:ascii="Times New Roman" w:hAnsi="Times New Roman" w:cs="Times New Roman"/>
          <w:i/>
          <w:sz w:val="24"/>
          <w:szCs w:val="24"/>
        </w:rPr>
        <w:lastRenderedPageBreak/>
        <w:t>culture</w:t>
      </w:r>
      <w:r w:rsidR="009F4094">
        <w:rPr>
          <w:rFonts w:ascii="Times New Roman" w:hAnsi="Times New Roman" w:cs="Times New Roman"/>
          <w:sz w:val="24"/>
          <w:szCs w:val="24"/>
        </w:rPr>
        <w:t xml:space="preserve">, or </w:t>
      </w:r>
      <w:r w:rsidR="009F4094" w:rsidRPr="009F4094">
        <w:rPr>
          <w:rFonts w:ascii="Times New Roman" w:hAnsi="Times New Roman" w:cs="Times New Roman"/>
          <w:i/>
          <w:sz w:val="24"/>
          <w:szCs w:val="24"/>
        </w:rPr>
        <w:t>cultural diversity</w:t>
      </w:r>
      <w:r w:rsidR="009F4094">
        <w:rPr>
          <w:rFonts w:ascii="Times New Roman" w:hAnsi="Times New Roman" w:cs="Times New Roman"/>
          <w:sz w:val="24"/>
          <w:szCs w:val="24"/>
        </w:rPr>
        <w:t xml:space="preserve"> or </w:t>
      </w:r>
      <w:r w:rsidR="009F4094" w:rsidRPr="009F4094">
        <w:rPr>
          <w:rFonts w:ascii="Times New Roman" w:hAnsi="Times New Roman" w:cs="Times New Roman"/>
          <w:i/>
          <w:sz w:val="24"/>
          <w:szCs w:val="24"/>
        </w:rPr>
        <w:t>cultural competence</w:t>
      </w:r>
      <w:r w:rsidR="009F4094">
        <w:rPr>
          <w:rFonts w:ascii="Times New Roman" w:hAnsi="Times New Roman" w:cs="Times New Roman"/>
          <w:sz w:val="24"/>
          <w:szCs w:val="24"/>
        </w:rPr>
        <w:t xml:space="preserve"> the center of our conversation” (p. 17). </w:t>
      </w:r>
      <w:r w:rsidR="007927BB">
        <w:rPr>
          <w:rFonts w:ascii="Times New Roman" w:hAnsi="Times New Roman" w:cs="Times New Roman"/>
          <w:sz w:val="24"/>
          <w:szCs w:val="24"/>
        </w:rPr>
        <w:t xml:space="preserve">This includes </w:t>
      </w:r>
      <w:r w:rsidR="009D7E02">
        <w:rPr>
          <w:rFonts w:ascii="Times New Roman" w:hAnsi="Times New Roman" w:cs="Times New Roman"/>
          <w:sz w:val="24"/>
          <w:szCs w:val="24"/>
        </w:rPr>
        <w:t xml:space="preserve">understanding </w:t>
      </w:r>
      <w:r w:rsidR="007927BB">
        <w:rPr>
          <w:rFonts w:ascii="Times New Roman" w:hAnsi="Times New Roman" w:cs="Times New Roman"/>
          <w:sz w:val="24"/>
          <w:szCs w:val="24"/>
        </w:rPr>
        <w:t xml:space="preserve">of </w:t>
      </w:r>
      <w:r w:rsidR="009D7E02">
        <w:rPr>
          <w:rFonts w:ascii="Times New Roman" w:hAnsi="Times New Roman" w:cs="Times New Roman"/>
          <w:sz w:val="24"/>
          <w:szCs w:val="24"/>
        </w:rPr>
        <w:t xml:space="preserve">implicit </w:t>
      </w:r>
      <w:r w:rsidR="007927BB">
        <w:rPr>
          <w:rFonts w:ascii="Times New Roman" w:hAnsi="Times New Roman" w:cs="Times New Roman"/>
          <w:sz w:val="24"/>
          <w:szCs w:val="24"/>
        </w:rPr>
        <w:t>biases</w:t>
      </w:r>
      <w:r w:rsidR="00B54434">
        <w:rPr>
          <w:rFonts w:ascii="Times New Roman" w:hAnsi="Times New Roman" w:cs="Times New Roman"/>
          <w:sz w:val="24"/>
          <w:szCs w:val="24"/>
        </w:rPr>
        <w:t xml:space="preserve"> and</w:t>
      </w:r>
      <w:r w:rsidR="009D7E02">
        <w:rPr>
          <w:rFonts w:ascii="Times New Roman" w:hAnsi="Times New Roman" w:cs="Times New Roman"/>
          <w:sz w:val="24"/>
          <w:szCs w:val="24"/>
        </w:rPr>
        <w:t xml:space="preserve"> a recognition of how implicit bias affect</w:t>
      </w:r>
      <w:r w:rsidR="00B54434">
        <w:rPr>
          <w:rFonts w:ascii="Times New Roman" w:hAnsi="Times New Roman" w:cs="Times New Roman"/>
          <w:sz w:val="24"/>
          <w:szCs w:val="24"/>
        </w:rPr>
        <w:t>s our</w:t>
      </w:r>
      <w:r w:rsidR="009D7E02">
        <w:rPr>
          <w:rFonts w:ascii="Times New Roman" w:hAnsi="Times New Roman" w:cs="Times New Roman"/>
          <w:sz w:val="24"/>
          <w:szCs w:val="24"/>
        </w:rPr>
        <w:t xml:space="preserve"> student</w:t>
      </w:r>
      <w:r w:rsidR="00B54434">
        <w:rPr>
          <w:rFonts w:ascii="Times New Roman" w:hAnsi="Times New Roman" w:cs="Times New Roman"/>
          <w:sz w:val="24"/>
          <w:szCs w:val="24"/>
        </w:rPr>
        <w:t>s</w:t>
      </w:r>
      <w:r w:rsidR="009D7E02">
        <w:rPr>
          <w:rFonts w:ascii="Times New Roman" w:hAnsi="Times New Roman" w:cs="Times New Roman"/>
          <w:sz w:val="24"/>
          <w:szCs w:val="24"/>
        </w:rPr>
        <w:t xml:space="preserve">. A commitment </w:t>
      </w:r>
      <w:r w:rsidR="00FD4444">
        <w:rPr>
          <w:rFonts w:ascii="Times New Roman" w:hAnsi="Times New Roman" w:cs="Times New Roman"/>
          <w:sz w:val="24"/>
          <w:szCs w:val="24"/>
        </w:rPr>
        <w:t>to equity</w:t>
      </w:r>
      <w:r w:rsidR="009D7E02">
        <w:rPr>
          <w:rFonts w:ascii="Times New Roman" w:hAnsi="Times New Roman" w:cs="Times New Roman"/>
          <w:sz w:val="24"/>
          <w:szCs w:val="24"/>
        </w:rPr>
        <w:t xml:space="preserve"> means</w:t>
      </w:r>
      <w:r w:rsidR="007927BB">
        <w:rPr>
          <w:rFonts w:ascii="Times New Roman" w:hAnsi="Times New Roman" w:cs="Times New Roman"/>
          <w:sz w:val="24"/>
          <w:szCs w:val="24"/>
        </w:rPr>
        <w:t xml:space="preserve"> redressing </w:t>
      </w:r>
      <w:r w:rsidR="00D5230B">
        <w:rPr>
          <w:rFonts w:ascii="Times New Roman" w:hAnsi="Times New Roman" w:cs="Times New Roman"/>
          <w:sz w:val="24"/>
          <w:szCs w:val="24"/>
        </w:rPr>
        <w:t xml:space="preserve">of </w:t>
      </w:r>
      <w:r w:rsidR="009D7E02">
        <w:rPr>
          <w:rFonts w:ascii="Times New Roman" w:hAnsi="Times New Roman" w:cs="Times New Roman"/>
          <w:sz w:val="24"/>
          <w:szCs w:val="24"/>
        </w:rPr>
        <w:t>inequities</w:t>
      </w:r>
      <w:r w:rsidR="007927BB">
        <w:rPr>
          <w:rFonts w:ascii="Times New Roman" w:hAnsi="Times New Roman" w:cs="Times New Roman"/>
          <w:sz w:val="24"/>
          <w:szCs w:val="24"/>
        </w:rPr>
        <w:t xml:space="preserve">, </w:t>
      </w:r>
      <w:r w:rsidR="009D7E02">
        <w:rPr>
          <w:rFonts w:ascii="Times New Roman" w:hAnsi="Times New Roman" w:cs="Times New Roman"/>
          <w:sz w:val="24"/>
          <w:szCs w:val="24"/>
        </w:rPr>
        <w:t>through the</w:t>
      </w:r>
      <w:r w:rsidR="00D5230B">
        <w:rPr>
          <w:rFonts w:ascii="Times New Roman" w:hAnsi="Times New Roman" w:cs="Times New Roman"/>
          <w:sz w:val="24"/>
          <w:szCs w:val="24"/>
        </w:rPr>
        <w:t xml:space="preserve"> creation of</w:t>
      </w:r>
      <w:r w:rsidR="007927BB">
        <w:rPr>
          <w:rFonts w:ascii="Times New Roman" w:hAnsi="Times New Roman" w:cs="Times New Roman"/>
          <w:sz w:val="24"/>
          <w:szCs w:val="24"/>
        </w:rPr>
        <w:t xml:space="preserve"> a “bias-free and equitable learning environment for all students” (p. 20). </w:t>
      </w:r>
      <w:r w:rsidR="00996078">
        <w:rPr>
          <w:rFonts w:ascii="Times New Roman" w:hAnsi="Times New Roman" w:cs="Times New Roman"/>
          <w:sz w:val="24"/>
          <w:szCs w:val="24"/>
        </w:rPr>
        <w:t xml:space="preserve">If we are to advocate for our </w:t>
      </w:r>
      <w:r w:rsidR="00D5230B">
        <w:rPr>
          <w:rFonts w:ascii="Times New Roman" w:hAnsi="Times New Roman" w:cs="Times New Roman"/>
          <w:sz w:val="24"/>
          <w:szCs w:val="24"/>
        </w:rPr>
        <w:t>ELLs, we must reject deficit views that pervade our schools and classrooms</w:t>
      </w:r>
      <w:r w:rsidR="009D7E02">
        <w:rPr>
          <w:rFonts w:ascii="Times New Roman" w:hAnsi="Times New Roman" w:cs="Times New Roman"/>
          <w:sz w:val="24"/>
          <w:szCs w:val="24"/>
        </w:rPr>
        <w:t xml:space="preserve">, </w:t>
      </w:r>
      <w:r w:rsidR="00F521D6">
        <w:rPr>
          <w:rFonts w:ascii="Times New Roman" w:hAnsi="Times New Roman" w:cs="Times New Roman"/>
          <w:sz w:val="24"/>
          <w:szCs w:val="24"/>
        </w:rPr>
        <w:t xml:space="preserve">fueled by larger political conversations, </w:t>
      </w:r>
      <w:r w:rsidR="009D7E02">
        <w:rPr>
          <w:rFonts w:ascii="Times New Roman" w:hAnsi="Times New Roman" w:cs="Times New Roman"/>
          <w:sz w:val="24"/>
          <w:szCs w:val="24"/>
        </w:rPr>
        <w:t>i</w:t>
      </w:r>
      <w:r w:rsidR="00D5230B">
        <w:rPr>
          <w:rFonts w:ascii="Times New Roman" w:hAnsi="Times New Roman" w:cs="Times New Roman"/>
          <w:sz w:val="24"/>
          <w:szCs w:val="24"/>
        </w:rPr>
        <w:t>nstead seek</w:t>
      </w:r>
      <w:r w:rsidR="009D7E02">
        <w:rPr>
          <w:rFonts w:ascii="Times New Roman" w:hAnsi="Times New Roman" w:cs="Times New Roman"/>
          <w:sz w:val="24"/>
          <w:szCs w:val="24"/>
        </w:rPr>
        <w:t>ing</w:t>
      </w:r>
      <w:r w:rsidR="00D5230B">
        <w:rPr>
          <w:rFonts w:ascii="Times New Roman" w:hAnsi="Times New Roman" w:cs="Times New Roman"/>
          <w:sz w:val="24"/>
          <w:szCs w:val="24"/>
        </w:rPr>
        <w:t xml:space="preserve"> ways to facilitate the extraordinary contributions of thought, experience, and skills that they and their families offer.   </w:t>
      </w:r>
      <w:r w:rsidR="00996078">
        <w:rPr>
          <w:rFonts w:ascii="Times New Roman" w:hAnsi="Times New Roman" w:cs="Times New Roman"/>
          <w:sz w:val="24"/>
          <w:szCs w:val="24"/>
        </w:rPr>
        <w:t xml:space="preserve">  </w:t>
      </w:r>
    </w:p>
    <w:p w14:paraId="18246112" w14:textId="77777777" w:rsidR="00B85F7E" w:rsidRDefault="00B85F7E" w:rsidP="00216E4F">
      <w:pPr>
        <w:spacing w:after="0" w:line="480" w:lineRule="auto"/>
        <w:ind w:firstLine="720"/>
        <w:rPr>
          <w:rFonts w:ascii="Times New Roman" w:hAnsi="Times New Roman" w:cs="Times New Roman"/>
          <w:sz w:val="24"/>
          <w:szCs w:val="24"/>
        </w:rPr>
      </w:pPr>
    </w:p>
    <w:sectPr w:rsidR="00B85F7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5E2243" w14:textId="77777777" w:rsidR="004F4EDA" w:rsidRDefault="004F4EDA" w:rsidP="00C54CE0">
      <w:pPr>
        <w:spacing w:after="0" w:line="240" w:lineRule="auto"/>
      </w:pPr>
      <w:r>
        <w:separator/>
      </w:r>
    </w:p>
  </w:endnote>
  <w:endnote w:type="continuationSeparator" w:id="0">
    <w:p w14:paraId="3E66A106" w14:textId="77777777" w:rsidR="004F4EDA" w:rsidRDefault="004F4EDA" w:rsidP="00C54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C83AAF" w14:textId="77777777" w:rsidR="004F4EDA" w:rsidRDefault="004F4EDA" w:rsidP="00C54CE0">
      <w:pPr>
        <w:spacing w:after="0" w:line="240" w:lineRule="auto"/>
      </w:pPr>
      <w:r>
        <w:separator/>
      </w:r>
    </w:p>
  </w:footnote>
  <w:footnote w:type="continuationSeparator" w:id="0">
    <w:p w14:paraId="2A922960" w14:textId="77777777" w:rsidR="004F4EDA" w:rsidRDefault="004F4EDA" w:rsidP="00C54C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5654522"/>
      <w:docPartObj>
        <w:docPartGallery w:val="Page Numbers (Top of Page)"/>
        <w:docPartUnique/>
      </w:docPartObj>
    </w:sdtPr>
    <w:sdtEndPr>
      <w:rPr>
        <w:noProof/>
      </w:rPr>
    </w:sdtEndPr>
    <w:sdtContent>
      <w:p w14:paraId="51854902" w14:textId="4260881D" w:rsidR="00C54CE0" w:rsidRDefault="00C54CE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640A3F3" w14:textId="77777777" w:rsidR="00C54CE0" w:rsidRDefault="00C54C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E1F"/>
    <w:rsid w:val="0000497D"/>
    <w:rsid w:val="00025332"/>
    <w:rsid w:val="000507EA"/>
    <w:rsid w:val="000B282F"/>
    <w:rsid w:val="000E6DC5"/>
    <w:rsid w:val="00112AF8"/>
    <w:rsid w:val="00153E9B"/>
    <w:rsid w:val="00166450"/>
    <w:rsid w:val="001E7E4B"/>
    <w:rsid w:val="001F2E92"/>
    <w:rsid w:val="00203C59"/>
    <w:rsid w:val="00216E4F"/>
    <w:rsid w:val="002200D0"/>
    <w:rsid w:val="00241DC6"/>
    <w:rsid w:val="00261F3A"/>
    <w:rsid w:val="002671DB"/>
    <w:rsid w:val="00270E1F"/>
    <w:rsid w:val="002821A1"/>
    <w:rsid w:val="002A09DB"/>
    <w:rsid w:val="002C739C"/>
    <w:rsid w:val="00316907"/>
    <w:rsid w:val="00351FF3"/>
    <w:rsid w:val="003C7AE4"/>
    <w:rsid w:val="003D7319"/>
    <w:rsid w:val="00420C30"/>
    <w:rsid w:val="00470404"/>
    <w:rsid w:val="00481FF0"/>
    <w:rsid w:val="004C3B3E"/>
    <w:rsid w:val="004E015E"/>
    <w:rsid w:val="004F4EDA"/>
    <w:rsid w:val="00502531"/>
    <w:rsid w:val="005B3222"/>
    <w:rsid w:val="00666CAD"/>
    <w:rsid w:val="00683E22"/>
    <w:rsid w:val="006E7D71"/>
    <w:rsid w:val="0070413C"/>
    <w:rsid w:val="00747728"/>
    <w:rsid w:val="00780FBA"/>
    <w:rsid w:val="00786825"/>
    <w:rsid w:val="007927BB"/>
    <w:rsid w:val="007A0DDB"/>
    <w:rsid w:val="007B0482"/>
    <w:rsid w:val="007F1D00"/>
    <w:rsid w:val="00853069"/>
    <w:rsid w:val="0086173A"/>
    <w:rsid w:val="008D1934"/>
    <w:rsid w:val="008D6C10"/>
    <w:rsid w:val="008F15C6"/>
    <w:rsid w:val="00926854"/>
    <w:rsid w:val="0097068A"/>
    <w:rsid w:val="00996078"/>
    <w:rsid w:val="009B2A5E"/>
    <w:rsid w:val="009D7E02"/>
    <w:rsid w:val="009E6F53"/>
    <w:rsid w:val="009F4094"/>
    <w:rsid w:val="00A43D92"/>
    <w:rsid w:val="00A64E5A"/>
    <w:rsid w:val="00A848A3"/>
    <w:rsid w:val="00A84CFE"/>
    <w:rsid w:val="00AE0978"/>
    <w:rsid w:val="00B347EA"/>
    <w:rsid w:val="00B4449B"/>
    <w:rsid w:val="00B54434"/>
    <w:rsid w:val="00B82659"/>
    <w:rsid w:val="00B85F7E"/>
    <w:rsid w:val="00BB1D88"/>
    <w:rsid w:val="00BE6E1C"/>
    <w:rsid w:val="00C4625E"/>
    <w:rsid w:val="00C54CE0"/>
    <w:rsid w:val="00C55CA7"/>
    <w:rsid w:val="00C5725D"/>
    <w:rsid w:val="00C62FAC"/>
    <w:rsid w:val="00C66A1F"/>
    <w:rsid w:val="00C67FB7"/>
    <w:rsid w:val="00C90295"/>
    <w:rsid w:val="00CC4A6F"/>
    <w:rsid w:val="00CF4959"/>
    <w:rsid w:val="00CF76A4"/>
    <w:rsid w:val="00D24344"/>
    <w:rsid w:val="00D50611"/>
    <w:rsid w:val="00D5230B"/>
    <w:rsid w:val="00D57808"/>
    <w:rsid w:val="00D62D69"/>
    <w:rsid w:val="00E05E1D"/>
    <w:rsid w:val="00E70E2F"/>
    <w:rsid w:val="00E9141D"/>
    <w:rsid w:val="00F05755"/>
    <w:rsid w:val="00F230F9"/>
    <w:rsid w:val="00F31CF3"/>
    <w:rsid w:val="00F40BD5"/>
    <w:rsid w:val="00F521D6"/>
    <w:rsid w:val="00F54189"/>
    <w:rsid w:val="00F6492D"/>
    <w:rsid w:val="00F90204"/>
    <w:rsid w:val="00FA3D29"/>
    <w:rsid w:val="00FD4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925D3"/>
  <w15:chartTrackingRefBased/>
  <w15:docId w15:val="{6FF05A24-3BE8-4B94-AA25-916C05CC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0E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0E2F"/>
    <w:rPr>
      <w:rFonts w:ascii="Segoe UI" w:hAnsi="Segoe UI" w:cs="Segoe UI"/>
      <w:sz w:val="18"/>
      <w:szCs w:val="18"/>
    </w:rPr>
  </w:style>
  <w:style w:type="paragraph" w:styleId="Header">
    <w:name w:val="header"/>
    <w:basedOn w:val="Normal"/>
    <w:link w:val="HeaderChar"/>
    <w:uiPriority w:val="99"/>
    <w:unhideWhenUsed/>
    <w:rsid w:val="00C54C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4CE0"/>
  </w:style>
  <w:style w:type="paragraph" w:styleId="Footer">
    <w:name w:val="footer"/>
    <w:basedOn w:val="Normal"/>
    <w:link w:val="FooterChar"/>
    <w:uiPriority w:val="99"/>
    <w:unhideWhenUsed/>
    <w:rsid w:val="00C54C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4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1330</Words>
  <Characters>7582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Jane Jeddi</dc:creator>
  <cp:keywords/>
  <dc:description/>
  <cp:lastModifiedBy>Andrea Jane Jeddi</cp:lastModifiedBy>
  <cp:revision>2</cp:revision>
  <cp:lastPrinted>2018-09-13T04:21:00Z</cp:lastPrinted>
  <dcterms:created xsi:type="dcterms:W3CDTF">2018-09-23T17:24:00Z</dcterms:created>
  <dcterms:modified xsi:type="dcterms:W3CDTF">2018-09-23T17:24:00Z</dcterms:modified>
</cp:coreProperties>
</file>